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2" w:tblpY="1468"/>
        <w:tblOverlap w:val="never"/>
        <w:tblW w:w="9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5"/>
        <w:gridCol w:w="1035"/>
        <w:gridCol w:w="1155"/>
        <w:gridCol w:w="446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 xml:space="preserve">附件1 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梧州市意祥投资有限责任公司2021年10月面向社会公开招聘计划表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岗位所在部门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  名额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物业管理部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物业管理人员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1.男女不限，大专以上学历，年龄30岁以下，品行端正、身体健康；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2.熟悉物业管理行业政策法规，有一定的物业企业管理经验及技能。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3.有一定的组织、策划及协调沟通能力。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2000-3000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00A0"/>
    <w:rsid w:val="0E0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2021-10-26T01:33:00Z</dcterms:created>
  <dc:creator>咖啡色</dc:creator>
  <cp:lastModifiedBy>咖啡色</cp:lastModifiedBy>
  <dcterms:modified xsi:type="dcterms:W3CDTF">2021-10-26T01:34:20Z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7787A6E674794585AA08CC5D643CEFD9</vt:lpwstr>
  </property>
</Properties>
</file>