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p>
      <w:pPr>
        <w:widowControl/>
        <w:shd w:val="clear" w:color="auto" w:fill="FFFFFF"/>
        <w:spacing w:line="500" w:lineRule="exact"/>
        <w:jc w:val="center"/>
        <w:rPr>
          <w:rFonts w:ascii="方正小标宋简体" w:eastAsia="方正小标宋简体" w:cs="Arial" w:hAnsiTheme="minorEastAsia"/>
          <w:color w:val="000000" w:themeColor="text1"/>
          <w:kern w:val="0"/>
          <w:sz w:val="44"/>
          <w:szCs w:val="44"/>
          <w14:textFill>
            <w14:solidFill>
              <w14:schemeClr w14:val="tx1"/>
            </w14:solidFill>
          </w14:textFill>
        </w:rPr>
      </w:pPr>
      <w:r>
        <w:rPr>
          <w:rFonts w:hint="eastAsia" w:ascii="方正小标宋简体" w:eastAsia="方正小标宋简体" w:cs="Arial" w:hAnsiTheme="minorEastAsia"/>
          <w:color w:val="000000" w:themeColor="text1"/>
          <w:kern w:val="0"/>
          <w:sz w:val="44"/>
          <w:szCs w:val="44"/>
          <w14:textFill>
            <w14:solidFill>
              <w14:schemeClr w14:val="tx1"/>
            </w14:solidFill>
          </w14:textFill>
        </w:rPr>
        <w:t>百色市右江区鑫合资产管理有限</w:t>
      </w:r>
      <w:r>
        <w:rPr>
          <w:rFonts w:hint="eastAsia" w:ascii="方正小标宋简体" w:eastAsia="方正小标宋简体" w:cs="Arial" w:hAnsiTheme="minorEastAsia"/>
          <w:color w:val="000000" w:themeColor="text1"/>
          <w:kern w:val="0"/>
          <w:sz w:val="44"/>
          <w:szCs w:val="44"/>
          <w:lang w:val="en-US" w:eastAsia="zh-CN"/>
          <w14:textFill>
            <w14:solidFill>
              <w14:schemeClr w14:val="tx1"/>
            </w14:solidFill>
          </w14:textFill>
        </w:rPr>
        <w:t>责任</w:t>
      </w:r>
      <w:r>
        <w:rPr>
          <w:rFonts w:hint="eastAsia" w:ascii="方正小标宋简体" w:eastAsia="方正小标宋简体" w:cs="Arial" w:hAnsiTheme="minorEastAsia"/>
          <w:color w:val="000000" w:themeColor="text1"/>
          <w:kern w:val="0"/>
          <w:sz w:val="44"/>
          <w:szCs w:val="44"/>
          <w14:textFill>
            <w14:solidFill>
              <w14:schemeClr w14:val="tx1"/>
            </w14:solidFill>
          </w14:textFill>
        </w:rPr>
        <w:t>公司公开招聘计划表</w:t>
      </w:r>
    </w:p>
    <w:tbl>
      <w:tblPr>
        <w:tblStyle w:val="5"/>
        <w:tblpPr w:leftFromText="180" w:rightFromText="180" w:vertAnchor="text" w:horzAnchor="page" w:tblpXSpec="center" w:tblpY="496"/>
        <w:tblOverlap w:val="never"/>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4"/>
        <w:gridCol w:w="753"/>
        <w:gridCol w:w="1253"/>
        <w:gridCol w:w="916"/>
        <w:gridCol w:w="296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87" w:type="dxa"/>
            <w:shd w:val="clear" w:color="auto" w:fill="auto"/>
            <w:vAlign w:val="center"/>
          </w:tcPr>
          <w:p>
            <w:pPr>
              <w:widowControl/>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504"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招聘岗位</w:t>
            </w:r>
          </w:p>
        </w:tc>
        <w:tc>
          <w:tcPr>
            <w:tcW w:w="753"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招聘人数</w:t>
            </w:r>
          </w:p>
        </w:tc>
        <w:tc>
          <w:tcPr>
            <w:tcW w:w="1253"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学历</w:t>
            </w:r>
          </w:p>
        </w:tc>
        <w:tc>
          <w:tcPr>
            <w:tcW w:w="916"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专业</w:t>
            </w:r>
          </w:p>
        </w:tc>
        <w:tc>
          <w:tcPr>
            <w:tcW w:w="2969"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任职资格</w:t>
            </w:r>
          </w:p>
        </w:tc>
        <w:tc>
          <w:tcPr>
            <w:tcW w:w="6634"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87" w:type="dxa"/>
            <w:shd w:val="clear" w:color="auto" w:fill="auto"/>
            <w:vAlign w:val="center"/>
          </w:tcPr>
          <w:p>
            <w:pPr>
              <w:widowControl/>
              <w:spacing w:line="36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1504" w:type="dxa"/>
            <w:shd w:val="clear" w:color="auto" w:fill="auto"/>
            <w:vAlign w:val="center"/>
          </w:tcPr>
          <w:p>
            <w:pPr>
              <w:widowControl/>
              <w:spacing w:line="36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鑫合公司副总经理</w:t>
            </w:r>
          </w:p>
        </w:tc>
        <w:tc>
          <w:tcPr>
            <w:tcW w:w="753" w:type="dxa"/>
            <w:shd w:val="clear" w:color="auto" w:fill="auto"/>
            <w:vAlign w:val="center"/>
          </w:tcPr>
          <w:p>
            <w:pPr>
              <w:widowControl/>
              <w:spacing w:line="36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1253" w:type="dxa"/>
            <w:shd w:val="clear" w:color="auto" w:fill="auto"/>
            <w:vAlign w:val="center"/>
          </w:tcPr>
          <w:p>
            <w:pPr>
              <w:widowControl/>
              <w:spacing w:line="36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大学专科及以上学历</w:t>
            </w:r>
          </w:p>
        </w:tc>
        <w:tc>
          <w:tcPr>
            <w:tcW w:w="916" w:type="dxa"/>
            <w:shd w:val="clear" w:color="auto" w:fill="auto"/>
            <w:vAlign w:val="center"/>
          </w:tcPr>
          <w:p>
            <w:pPr>
              <w:widowControl/>
              <w:spacing w:line="36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经济、金融、财会、工商管理类等相关专业</w:t>
            </w:r>
          </w:p>
        </w:tc>
        <w:tc>
          <w:tcPr>
            <w:tcW w:w="2969" w:type="dxa"/>
            <w:shd w:val="clear" w:color="auto" w:fill="auto"/>
            <w:vAlign w:val="center"/>
          </w:tcPr>
          <w:p>
            <w:pPr>
              <w:spacing w:line="360" w:lineRule="exact"/>
              <w:rPr>
                <w:color w:val="000000"/>
                <w:sz w:val="28"/>
                <w:szCs w:val="28"/>
              </w:rPr>
            </w:pPr>
            <w:r>
              <w:rPr>
                <w:rFonts w:hint="eastAsia"/>
                <w:color w:val="C00000"/>
                <w:sz w:val="28"/>
                <w:szCs w:val="28"/>
              </w:rPr>
              <w:t>年龄</w:t>
            </w:r>
            <w:r>
              <w:rPr>
                <w:rFonts w:hint="eastAsia"/>
                <w:color w:val="C00000"/>
                <w:sz w:val="28"/>
                <w:szCs w:val="28"/>
                <w:lang w:val="en-US" w:eastAsia="zh-CN"/>
              </w:rPr>
              <w:t>40</w:t>
            </w:r>
            <w:r>
              <w:rPr>
                <w:rFonts w:hint="eastAsia"/>
                <w:color w:val="C00000"/>
                <w:sz w:val="28"/>
                <w:szCs w:val="28"/>
              </w:rPr>
              <w:t>周岁及以上</w:t>
            </w:r>
            <w:r>
              <w:rPr>
                <w:rFonts w:hint="eastAsia"/>
                <w:color w:val="000000"/>
                <w:sz w:val="28"/>
                <w:szCs w:val="28"/>
              </w:rPr>
              <w:t>，15年以上工作经验，其中</w:t>
            </w:r>
            <w:r>
              <w:rPr>
                <w:color w:val="000000"/>
                <w:sz w:val="28"/>
                <w:szCs w:val="28"/>
              </w:rPr>
              <w:t>3</w:t>
            </w:r>
            <w:r>
              <w:rPr>
                <w:rFonts w:hint="eastAsia"/>
                <w:color w:val="000000"/>
                <w:sz w:val="28"/>
                <w:szCs w:val="28"/>
              </w:rPr>
              <w:t>年以上企业高层管理经验；熟悉投融资领域、现代农业发展现状与趋势；具有较强的战略规划与实施能力；为人正直，具有事业心和责任感。有供销系统工作经验者优先。</w:t>
            </w:r>
          </w:p>
        </w:tc>
        <w:tc>
          <w:tcPr>
            <w:tcW w:w="6634" w:type="dxa"/>
            <w:shd w:val="clear" w:color="auto" w:fill="auto"/>
            <w:vAlign w:val="center"/>
          </w:tcPr>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1.领导执行、实施总经理的各项决议:全面领会总经理的各项决议内容及其重要意义、组织实施总经理的各项决议对各项决议的实施过程进行监控，发现问题及时纠正，确保决议的贯彻执行</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2.实施公司的总体战略:组织实施公司的发展战略，发掘市场机会，领导创新与变革</w:t>
            </w:r>
            <w:r>
              <w:rPr>
                <w:rFonts w:hint="eastAsia"/>
                <w:color w:val="000000" w:themeColor="text1"/>
                <w:sz w:val="28"/>
                <w:szCs w:val="28"/>
                <w:lang w:eastAsia="zh-CN"/>
                <w14:textFill>
                  <w14:solidFill>
                    <w14:schemeClr w14:val="tx1"/>
                  </w14:solidFill>
                </w14:textFill>
              </w:rPr>
              <w:t>；</w:t>
            </w:r>
          </w:p>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3.根据总经理下达的年度经营目标组织制定、修改、实施公司年度经营计划和财务预算报告及利润分配、使用方案； </w:t>
            </w:r>
          </w:p>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4.建立良好的沟通渠道:负责与总经理保持良好沟通,定期向总经理汇报经营战略和计划执行情况、资金运用情况和盈亏情况、机构和人员调配情况及其他重大事宜;领导建立公司与客户、供应商、合作伙伴、上级主管部门、政府机构、金融机构、媒体等部门间顺畅的沟通渠道;领导开展公司的社会公共关系活动，树立良好的企业形象、领导建立公司内部良好的沟通渠道； </w:t>
            </w:r>
          </w:p>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5.主持制定和完善公司的各项规章制度，建立健全内部组织系统，协调各部门关系，建立有效合理的运行机制； </w:t>
            </w:r>
          </w:p>
          <w:p>
            <w:pPr>
              <w:widowControl/>
              <w:spacing w:line="360" w:lineRule="exact"/>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6.负责中层以上管理干部的培养、考核、任免、督导；</w:t>
            </w:r>
          </w:p>
          <w:p>
            <w:pPr>
              <w:widowControl/>
              <w:spacing w:line="360" w:lineRule="exact"/>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rFonts w:hint="eastAsia"/>
                <w:color w:val="000000" w:themeColor="text1"/>
                <w:sz w:val="28"/>
                <w:szCs w:val="28"/>
                <w14:textFill>
                  <w14:solidFill>
                    <w14:schemeClr w14:val="tx1"/>
                  </w14:solidFill>
                </w14:textFill>
              </w:rPr>
              <w:t>.董事会授予的其他职权。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87" w:type="dxa"/>
            <w:shd w:val="clear" w:color="auto" w:fill="auto"/>
            <w:vAlign w:val="center"/>
          </w:tcPr>
          <w:p>
            <w:pPr>
              <w:widowControl/>
              <w:spacing w:line="360" w:lineRule="exact"/>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2</w:t>
            </w:r>
          </w:p>
        </w:tc>
        <w:tc>
          <w:tcPr>
            <w:tcW w:w="1504" w:type="dxa"/>
            <w:shd w:val="clear" w:color="auto" w:fill="auto"/>
            <w:vAlign w:val="center"/>
          </w:tcPr>
          <w:p>
            <w:pPr>
              <w:widowControl/>
              <w:spacing w:line="3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农资公司副总经理</w:t>
            </w:r>
          </w:p>
        </w:tc>
        <w:tc>
          <w:tcPr>
            <w:tcW w:w="753" w:type="dxa"/>
            <w:shd w:val="clear" w:color="auto" w:fill="auto"/>
            <w:vAlign w:val="center"/>
          </w:tcPr>
          <w:p>
            <w:pPr>
              <w:widowControl/>
              <w:spacing w:line="3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253" w:type="dxa"/>
            <w:shd w:val="clear" w:color="auto" w:fill="auto"/>
            <w:vAlign w:val="center"/>
          </w:tcPr>
          <w:p>
            <w:pPr>
              <w:widowControl/>
              <w:spacing w:line="3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大学专科及以上学历</w:t>
            </w:r>
          </w:p>
        </w:tc>
        <w:tc>
          <w:tcPr>
            <w:tcW w:w="916" w:type="dxa"/>
            <w:shd w:val="clear" w:color="auto" w:fill="auto"/>
            <w:vAlign w:val="center"/>
          </w:tcPr>
          <w:p>
            <w:pPr>
              <w:widowControl/>
              <w:spacing w:line="360" w:lineRule="exac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有农林业知识、销售、融资经验者优先</w:t>
            </w:r>
          </w:p>
        </w:tc>
        <w:tc>
          <w:tcPr>
            <w:tcW w:w="2969" w:type="dxa"/>
            <w:shd w:val="clear" w:color="auto" w:fill="auto"/>
            <w:vAlign w:val="center"/>
          </w:tcPr>
          <w:p>
            <w:pPr>
              <w:spacing w:line="360" w:lineRule="exact"/>
              <w:rPr>
                <w:rFonts w:hint="eastAsia" w:eastAsiaTheme="minorEastAsia"/>
                <w:color w:val="000000" w:themeColor="text1"/>
                <w:sz w:val="28"/>
                <w:szCs w:val="28"/>
                <w:lang w:val="en-US" w:eastAsia="zh-CN"/>
                <w14:textFill>
                  <w14:solidFill>
                    <w14:schemeClr w14:val="tx1"/>
                  </w14:solidFill>
                </w14:textFill>
              </w:rPr>
            </w:pPr>
            <w:r>
              <w:rPr>
                <w:rFonts w:hint="eastAsia"/>
                <w:color w:val="C00000"/>
                <w:sz w:val="28"/>
                <w:szCs w:val="28"/>
              </w:rPr>
              <w:t>年龄</w:t>
            </w:r>
            <w:r>
              <w:rPr>
                <w:rFonts w:hint="eastAsia"/>
                <w:color w:val="C00000"/>
                <w:sz w:val="28"/>
                <w:szCs w:val="28"/>
                <w:lang w:val="en-US" w:eastAsia="zh-CN"/>
              </w:rPr>
              <w:t>40</w:t>
            </w:r>
            <w:r>
              <w:rPr>
                <w:rFonts w:hint="eastAsia"/>
                <w:color w:val="C00000"/>
                <w:sz w:val="28"/>
                <w:szCs w:val="28"/>
              </w:rPr>
              <w:t>周岁及以上</w:t>
            </w:r>
            <w:r>
              <w:rPr>
                <w:rFonts w:hint="eastAsia"/>
                <w:color w:val="C00000"/>
                <w:sz w:val="28"/>
                <w:szCs w:val="28"/>
                <w:lang w:eastAsia="zh-CN"/>
              </w:rPr>
              <w:t>，</w:t>
            </w:r>
            <w:r>
              <w:rPr>
                <w:color w:val="000000" w:themeColor="text1"/>
                <w:sz w:val="28"/>
                <w:szCs w:val="28"/>
                <w14:textFill>
                  <w14:solidFill>
                    <w14:schemeClr w14:val="tx1"/>
                  </w14:solidFill>
                </w14:textFill>
              </w:rPr>
              <w:t>1.具有专科及以上学历，工商管理、市场营销相关专业</w:t>
            </w:r>
            <w:r>
              <w:rPr>
                <w:rFonts w:hint="eastAsia"/>
                <w:color w:val="000000" w:themeColor="text1"/>
                <w:sz w:val="28"/>
                <w:szCs w:val="28"/>
                <w:lang w:eastAsia="zh-CN"/>
                <w14:textFill>
                  <w14:solidFill>
                    <w14:schemeClr w14:val="tx1"/>
                  </w14:solidFill>
                </w14:textFill>
              </w:rPr>
              <w:t>。</w:t>
            </w:r>
          </w:p>
          <w:p>
            <w:pPr>
              <w:numPr>
                <w:ilvl w:val="0"/>
                <w:numId w:val="1"/>
              </w:num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具备所在地市一定的行业人脉与资源，有工作经验者优先； </w:t>
            </w:r>
          </w:p>
          <w:p>
            <w:pPr>
              <w:numPr>
                <w:ilvl w:val="0"/>
                <w:numId w:val="1"/>
              </w:numPr>
              <w:spacing w:line="360" w:lineRule="exact"/>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熟练掌握市场拓展、商务谈判知识和技巧，能够独立完成相关工作；</w:t>
            </w:r>
          </w:p>
          <w:p>
            <w:pPr>
              <w:numPr>
                <w:ilvl w:val="0"/>
                <w:numId w:val="1"/>
              </w:numPr>
              <w:spacing w:line="360" w:lineRule="exact"/>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具备较强的沟通影响能力、人际关系构建能力、组织推动力，同时有良好的创新、评估分析分析能力。</w:t>
            </w:r>
          </w:p>
        </w:tc>
        <w:tc>
          <w:tcPr>
            <w:tcW w:w="6634" w:type="dxa"/>
            <w:shd w:val="clear" w:color="auto" w:fill="auto"/>
            <w:vAlign w:val="center"/>
          </w:tcPr>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1.领导执行、实施总经理的各项决议:全面领会总经理的各项决议内容及其重要意义、组织实施总经理的各项决议对各项决议的实施过程进行监控，发现问题及时纠正，确保决议的贯彻执行； </w:t>
            </w:r>
          </w:p>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2.实施公司的总体战略:组织实施公司的发展战略，发掘市场机会，领导创新与变革。</w:t>
            </w:r>
          </w:p>
          <w:p>
            <w:pPr>
              <w:widowControl/>
              <w:spacing w:line="360" w:lineRule="exact"/>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3.根据总经理下达的年度经营目标组织制定、修改、实施公司年度经营计划和财务预算报告及利润分配、使用方案； </w:t>
            </w:r>
          </w:p>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协助总经理制定公司组织结构和管理体系、相关的管理业务规范和制度，内部管理制度化、规范化、精细化</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协助开展企业形象宣传工作，推进公司企业文化的建设工作</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组织进行市场调研，了解</w:t>
            </w:r>
            <w:r>
              <w:rPr>
                <w:rFonts w:hint="eastAsia"/>
                <w:color w:val="000000" w:themeColor="text1"/>
                <w:sz w:val="28"/>
                <w:szCs w:val="28"/>
                <w:lang w:val="en-US" w:eastAsia="zh-CN"/>
                <w14:textFill>
                  <w14:solidFill>
                    <w14:schemeClr w14:val="tx1"/>
                  </w14:solidFill>
                </w14:textFill>
              </w:rPr>
              <w:t>农资</w:t>
            </w:r>
            <w:r>
              <w:rPr>
                <w:rFonts w:hint="eastAsia"/>
                <w:color w:val="000000" w:themeColor="text1"/>
                <w:sz w:val="28"/>
                <w:szCs w:val="28"/>
                <w14:textFill>
                  <w14:solidFill>
                    <w14:schemeClr w14:val="tx1"/>
                  </w14:solidFill>
                </w14:textFill>
              </w:rPr>
              <w:t>市场环境分析竞争对手，反馈市场信息</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销售</w:t>
            </w:r>
            <w:r>
              <w:rPr>
                <w:rFonts w:hint="eastAsia"/>
                <w:color w:val="000000" w:themeColor="text1"/>
                <w:sz w:val="28"/>
                <w:szCs w:val="28"/>
                <w14:textFill>
                  <w14:solidFill>
                    <w14:schemeClr w14:val="tx1"/>
                  </w14:solidFill>
                </w14:textFill>
              </w:rPr>
              <w:t>渠道拓展，销售网点布局，进行客户的选择签订销售合同，货款回笼</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提出商品、价格、促销等营销建议并具体实施</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协助客户分销，迅速生动地铺货，专业化地运作市场</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负责辖区内商品物流管理工作及销售设施管理工作</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建立和保持与当地媒体、工商、税务、卫生防疫等部门良好的公共关系</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完成领导布置的其它工作。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87" w:type="dxa"/>
            <w:shd w:val="clear" w:color="auto" w:fill="auto"/>
            <w:vAlign w:val="center"/>
          </w:tcPr>
          <w:p>
            <w:pPr>
              <w:widowControl/>
              <w:spacing w:line="360" w:lineRule="exact"/>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3</w:t>
            </w:r>
          </w:p>
        </w:tc>
        <w:tc>
          <w:tcPr>
            <w:tcW w:w="1504" w:type="dxa"/>
            <w:shd w:val="clear" w:color="auto" w:fill="auto"/>
            <w:vAlign w:val="center"/>
          </w:tcPr>
          <w:p>
            <w:pPr>
              <w:widowControl/>
              <w:spacing w:line="36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鑫合公司会计</w:t>
            </w:r>
          </w:p>
        </w:tc>
        <w:tc>
          <w:tcPr>
            <w:tcW w:w="753" w:type="dxa"/>
            <w:shd w:val="clear" w:color="auto" w:fill="auto"/>
            <w:vAlign w:val="center"/>
          </w:tcPr>
          <w:p>
            <w:pPr>
              <w:widowControl/>
              <w:spacing w:line="36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253" w:type="dxa"/>
            <w:shd w:val="clear" w:color="auto" w:fill="auto"/>
            <w:vAlign w:val="center"/>
          </w:tcPr>
          <w:p>
            <w:pPr>
              <w:widowControl/>
              <w:spacing w:line="36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大学专科及以上学历</w:t>
            </w:r>
          </w:p>
        </w:tc>
        <w:tc>
          <w:tcPr>
            <w:tcW w:w="916" w:type="dxa"/>
            <w:shd w:val="clear" w:color="auto" w:fill="auto"/>
            <w:vAlign w:val="center"/>
          </w:tcPr>
          <w:p>
            <w:pPr>
              <w:widowControl/>
              <w:spacing w:line="360" w:lineRule="exact"/>
              <w:jc w:val="center"/>
              <w:rPr>
                <w:rFonts w:ascii="宋体" w:hAnsi="宋体" w:eastAsia="宋体" w:cs="宋体"/>
                <w:color w:val="000000"/>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会计类、财务管理类等相关专业</w:t>
            </w:r>
          </w:p>
        </w:tc>
        <w:tc>
          <w:tcPr>
            <w:tcW w:w="2969" w:type="dxa"/>
            <w:shd w:val="clear" w:color="auto" w:fill="auto"/>
            <w:vAlign w:val="center"/>
          </w:tcPr>
          <w:p>
            <w:pPr>
              <w:spacing w:line="360" w:lineRule="exact"/>
              <w:rPr>
                <w:color w:val="000000" w:themeColor="text1"/>
                <w:sz w:val="28"/>
                <w:szCs w:val="28"/>
                <w14:textFill>
                  <w14:solidFill>
                    <w14:schemeClr w14:val="tx1"/>
                  </w14:solidFill>
                </w14:textFill>
              </w:rPr>
            </w:pPr>
            <w:r>
              <w:rPr>
                <w:rFonts w:hint="eastAsia"/>
                <w:color w:val="C00000"/>
                <w:sz w:val="28"/>
                <w:szCs w:val="28"/>
              </w:rPr>
              <w:t>年龄</w:t>
            </w:r>
            <w:r>
              <w:rPr>
                <w:rFonts w:hint="eastAsia"/>
                <w:color w:val="C00000"/>
                <w:sz w:val="28"/>
                <w:szCs w:val="28"/>
                <w:lang w:val="en-US" w:eastAsia="zh-CN"/>
              </w:rPr>
              <w:t>40</w:t>
            </w:r>
            <w:r>
              <w:rPr>
                <w:rFonts w:hint="eastAsia"/>
                <w:color w:val="C00000"/>
                <w:sz w:val="28"/>
                <w:szCs w:val="28"/>
              </w:rPr>
              <w:t>周岁及以上</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1.具有专科以上学历，会计、财务管理等相关专业。</w:t>
            </w:r>
          </w:p>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2.独立负责公司财务工作3年以上。 </w:t>
            </w:r>
          </w:p>
          <w:p>
            <w:pPr>
              <w:spacing w:line="36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3.熟练掌握企业会计准则、各项财经和税收法律法规、以及相关财务事务处理方法;熟练运用财务软件以及OFFICE等办公软件。</w:t>
            </w:r>
          </w:p>
          <w:p>
            <w:pPr>
              <w:spacing w:line="360" w:lineRule="exac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有供销系统工作经验者优先。</w:t>
            </w:r>
          </w:p>
          <w:p>
            <w:pPr>
              <w:spacing w:line="360" w:lineRule="exact"/>
              <w:rPr>
                <w:rFonts w:ascii="宋体" w:hAnsi="宋体" w:eastAsia="宋体" w:cs="宋体"/>
                <w:color w:val="000000"/>
                <w:sz w:val="28"/>
                <w:szCs w:val="28"/>
              </w:rPr>
            </w:pPr>
          </w:p>
        </w:tc>
        <w:tc>
          <w:tcPr>
            <w:tcW w:w="6634" w:type="dxa"/>
            <w:shd w:val="clear" w:color="auto" w:fill="auto"/>
            <w:vAlign w:val="center"/>
          </w:tcPr>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在财务总监的领导下，具体负责公司会计部的管理工作；</w:t>
            </w:r>
            <w:r>
              <w:rPr>
                <w:rFonts w:hint="eastAsia"/>
                <w:color w:val="000000" w:themeColor="text1"/>
                <w:sz w:val="28"/>
                <w:szCs w:val="28"/>
                <w14:textFill>
                  <w14:solidFill>
                    <w14:schemeClr w14:val="tx1"/>
                  </w14:solidFill>
                </w14:textFill>
              </w:rPr>
              <w:br w:type="textWrapping"/>
            </w:r>
            <w:r>
              <w:rPr>
                <w:rFonts w:hint="eastAsia"/>
                <w:color w:val="000000" w:themeColor="text1"/>
                <w:sz w:val="28"/>
                <w:szCs w:val="28"/>
                <w14:textFill>
                  <w14:solidFill>
                    <w14:schemeClr w14:val="tx1"/>
                  </w14:solidFill>
                </w14:textFill>
              </w:rPr>
              <w:t>2.负责领导所属的出纳员、记帐员、会计员按时、按要求记帐收款，如实反映和监督企业的各项经济活动和财务收支情况，保证各项经济业务合情、合理、合法</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br w:type="textWrapping"/>
            </w:r>
            <w:r>
              <w:rPr>
                <w:rFonts w:hint="eastAsia"/>
                <w:color w:val="000000" w:themeColor="text1"/>
                <w:sz w:val="28"/>
                <w:szCs w:val="28"/>
                <w14:textFill>
                  <w14:solidFill>
                    <w14:schemeClr w14:val="tx1"/>
                  </w14:solidFill>
                </w14:textFill>
              </w:rPr>
              <w:t>3.按时编制月、季、年度会计表，做到数字真实、计算准确、内容完整、说明清楚、报送及时；</w:t>
            </w:r>
            <w:r>
              <w:rPr>
                <w:rFonts w:hint="eastAsia"/>
                <w:color w:val="000000" w:themeColor="text1"/>
                <w:sz w:val="28"/>
                <w:szCs w:val="28"/>
                <w14:textFill>
                  <w14:solidFill>
                    <w14:schemeClr w14:val="tx1"/>
                  </w14:solidFill>
                </w14:textFill>
              </w:rPr>
              <w:br w:type="textWrapping"/>
            </w:r>
            <w:r>
              <w:rPr>
                <w:rFonts w:hint="eastAsia"/>
                <w:color w:val="000000" w:themeColor="text1"/>
                <w:sz w:val="28"/>
                <w:szCs w:val="28"/>
                <w14:textFill>
                  <w14:solidFill>
                    <w14:schemeClr w14:val="tx1"/>
                  </w14:solidFill>
                </w14:textFill>
              </w:rPr>
              <w:t>4.根据会计制度，定期汇总会计凭证(登记总帐不超过10天)，并与科目明细帐核对相符</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负责部门管理费核算，认真审核收支原始凭证，帐务处理符合制度规定，帐目清楚，数字准确，结算及时</w:t>
            </w:r>
            <w:r>
              <w:rPr>
                <w:rFonts w:hint="eastAsia"/>
                <w:color w:val="000000" w:themeColor="text1"/>
                <w:sz w:val="28"/>
                <w:szCs w:val="28"/>
                <w:lang w:eastAsia="zh-CN"/>
                <w14:textFill>
                  <w14:solidFill>
                    <w14:schemeClr w14:val="tx1"/>
                  </w14:solidFill>
                </w14:textFill>
              </w:rPr>
              <w:t>；</w:t>
            </w:r>
          </w:p>
          <w:p>
            <w:pPr>
              <w:widowControl/>
              <w:spacing w:line="360" w:lineRule="exact"/>
              <w:jc w:val="both"/>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负责专用款项的明细核算，正确反映各项专用基金运用和结余情况以及专项工程支出和完工情况。专用基金的往来款项要及时对帐清算；</w:t>
            </w:r>
            <w:r>
              <w:rPr>
                <w:rFonts w:hint="eastAsia"/>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7</w:t>
            </w:r>
            <w:r>
              <w:rPr>
                <w:rFonts w:hint="eastAsia"/>
                <w:color w:val="000000" w:themeColor="text1"/>
                <w:sz w:val="28"/>
                <w:szCs w:val="28"/>
                <w14:textFill>
                  <w14:solidFill>
                    <w14:schemeClr w14:val="tx1"/>
                  </w14:solidFill>
                </w14:textFill>
              </w:rPr>
              <w:t>.负责承办公司领导交办的其他事宜</w:t>
            </w:r>
            <w:r>
              <w:rPr>
                <w:rFonts w:hint="eastAsia"/>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87" w:type="dxa"/>
            <w:shd w:val="clear" w:color="auto" w:fill="auto"/>
            <w:vAlign w:val="center"/>
          </w:tcPr>
          <w:p>
            <w:pPr>
              <w:widowControl/>
              <w:spacing w:line="360" w:lineRule="exact"/>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1504" w:type="dxa"/>
            <w:shd w:val="clear" w:color="auto" w:fill="auto"/>
            <w:vAlign w:val="center"/>
          </w:tcPr>
          <w:p>
            <w:pPr>
              <w:widowControl/>
              <w:spacing w:line="360" w:lineRule="exact"/>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鑫合公司</w:t>
            </w:r>
          </w:p>
          <w:p>
            <w:pPr>
              <w:widowControl/>
              <w:spacing w:line="360" w:lineRule="exact"/>
              <w:ind w:firstLine="280" w:firstLineChars="100"/>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出纳</w:t>
            </w:r>
          </w:p>
        </w:tc>
        <w:tc>
          <w:tcPr>
            <w:tcW w:w="753" w:type="dxa"/>
            <w:shd w:val="clear" w:color="auto" w:fill="auto"/>
            <w:vAlign w:val="center"/>
          </w:tcPr>
          <w:p>
            <w:pPr>
              <w:widowControl/>
              <w:spacing w:line="360" w:lineRule="exact"/>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1253" w:type="dxa"/>
            <w:shd w:val="clear" w:color="auto" w:fill="auto"/>
            <w:vAlign w:val="center"/>
          </w:tcPr>
          <w:p>
            <w:pPr>
              <w:widowControl/>
              <w:spacing w:line="36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大学专科及以上学历</w:t>
            </w:r>
          </w:p>
        </w:tc>
        <w:tc>
          <w:tcPr>
            <w:tcW w:w="916" w:type="dxa"/>
            <w:shd w:val="clear" w:color="auto" w:fill="auto"/>
            <w:vAlign w:val="center"/>
          </w:tcPr>
          <w:p>
            <w:pPr>
              <w:widowControl/>
              <w:spacing w:line="360" w:lineRule="exac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会计、财务</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等</w:t>
            </w:r>
            <w:r>
              <w:rPr>
                <w:rFonts w:hint="eastAsia" w:ascii="宋体" w:hAnsi="宋体" w:eastAsia="宋体" w:cs="宋体"/>
                <w:color w:val="000000" w:themeColor="text1"/>
                <w:kern w:val="0"/>
                <w:sz w:val="28"/>
                <w:szCs w:val="28"/>
                <w14:textFill>
                  <w14:solidFill>
                    <w14:schemeClr w14:val="tx1"/>
                  </w14:solidFill>
                </w14:textFill>
              </w:rPr>
              <w:t>相关专业</w:t>
            </w:r>
          </w:p>
        </w:tc>
        <w:tc>
          <w:tcPr>
            <w:tcW w:w="296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color w:val="0000FF"/>
                <w:sz w:val="28"/>
                <w:szCs w:val="28"/>
                <w:lang w:val="en-US" w:eastAsia="zh-CN"/>
                <w14:textFill>
                  <w14:gradFill>
                    <w14:gsLst>
                      <w14:gs w14:pos="0">
                        <w14:srgbClr w14:val="E30000"/>
                      </w14:gs>
                      <w14:gs w14:pos="100000">
                        <w14:srgbClr w14:val="760303"/>
                      </w14:gs>
                    </w14:gsLst>
                    <w14:lin w14:scaled="0"/>
                  </w14:gradFill>
                </w14:textFill>
              </w:rPr>
            </w:pPr>
            <w:r>
              <w:rPr>
                <w:rFonts w:hint="eastAsia"/>
                <w:color w:val="0000FF"/>
                <w:sz w:val="28"/>
                <w:szCs w:val="28"/>
                <w:lang w:val="en-US" w:eastAsia="zh-CN"/>
                <w14:textFill>
                  <w14:gradFill>
                    <w14:gsLst>
                      <w14:gs w14:pos="0">
                        <w14:srgbClr w14:val="E30000"/>
                      </w14:gs>
                      <w14:gs w14:pos="100000">
                        <w14:srgbClr w14:val="760303"/>
                      </w14:gs>
                    </w14:gsLst>
                    <w14:lin w14:scaled="0"/>
                  </w14:gradFill>
                </w14:textFill>
              </w:rPr>
              <w:t>年龄30岁及以上，</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1.具有会计任职资格，</w:t>
            </w:r>
            <w:r>
              <w:rPr>
                <w:rFonts w:hint="eastAsia"/>
                <w:color w:val="000000" w:themeColor="text1"/>
                <w:sz w:val="28"/>
                <w:szCs w:val="28"/>
                <w14:textFill>
                  <w14:solidFill>
                    <w14:schemeClr w14:val="tx1"/>
                  </w14:solidFill>
                </w14:textFill>
              </w:rPr>
              <w:t>遵纪守法，品行良好，性格稳重。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工作严谨，责任心强，做人踏实、敬业。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能熟练操作office办公软件和财务相关软件。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能够融入公司文化，具备团队协作能力。</w:t>
            </w:r>
          </w:p>
        </w:tc>
        <w:tc>
          <w:tcPr>
            <w:tcW w:w="6634" w:type="dxa"/>
            <w:shd w:val="clear" w:color="auto" w:fill="auto"/>
            <w:vAlign w:val="center"/>
          </w:tcPr>
          <w:p>
            <w:pPr>
              <w:widowControl/>
              <w:numPr>
                <w:ilvl w:val="0"/>
                <w:numId w:val="2"/>
              </w:numPr>
              <w:spacing w:line="360" w:lineRule="exact"/>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申请票据，准备和报送会计报表，协助办理税务报表的申报；</w:t>
            </w:r>
          </w:p>
          <w:p>
            <w:pPr>
              <w:widowControl/>
              <w:numPr>
                <w:ilvl w:val="0"/>
                <w:numId w:val="2"/>
              </w:numPr>
              <w:spacing w:line="360" w:lineRule="exact"/>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现金及银行收付处理，制作记账凭证，银行对账，单据审核，开具与保管发票；</w:t>
            </w:r>
          </w:p>
          <w:p>
            <w:pPr>
              <w:widowControl/>
              <w:numPr>
                <w:ilvl w:val="0"/>
                <w:numId w:val="2"/>
              </w:numPr>
              <w:spacing w:line="360" w:lineRule="exact"/>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协助会计文件的准备、归档和保管；</w:t>
            </w:r>
          </w:p>
          <w:p>
            <w:pPr>
              <w:widowControl/>
              <w:numPr>
                <w:ilvl w:val="0"/>
                <w:numId w:val="2"/>
              </w:numPr>
              <w:spacing w:line="360" w:lineRule="exact"/>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固定资产和低值易耗品的登</w:t>
            </w:r>
            <w:bookmarkStart w:id="0" w:name="_GoBack"/>
            <w:bookmarkEnd w:id="0"/>
            <w:r>
              <w:rPr>
                <w:rFonts w:hint="eastAsia"/>
                <w:color w:val="000000" w:themeColor="text1"/>
                <w:sz w:val="28"/>
                <w:szCs w:val="28"/>
                <w:lang w:val="en-US" w:eastAsia="zh-CN"/>
                <w14:textFill>
                  <w14:solidFill>
                    <w14:schemeClr w14:val="tx1"/>
                  </w14:solidFill>
                </w14:textFill>
              </w:rPr>
              <w:t>记和管理；</w:t>
            </w:r>
          </w:p>
          <w:p>
            <w:pPr>
              <w:widowControl/>
              <w:numPr>
                <w:ilvl w:val="0"/>
                <w:numId w:val="2"/>
              </w:numPr>
              <w:spacing w:line="360" w:lineRule="exact"/>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负责与银行、税务等部门的对外联络；</w:t>
            </w:r>
          </w:p>
          <w:p>
            <w:pPr>
              <w:widowControl/>
              <w:numPr>
                <w:ilvl w:val="0"/>
                <w:numId w:val="2"/>
              </w:numPr>
              <w:spacing w:line="360" w:lineRule="exact"/>
              <w:jc w:val="both"/>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协助主管完成其它日常事务性工作。</w:t>
            </w:r>
          </w:p>
          <w:p>
            <w:pPr>
              <w:widowControl/>
              <w:numPr>
                <w:ilvl w:val="0"/>
                <w:numId w:val="0"/>
              </w:numPr>
              <w:spacing w:line="360" w:lineRule="exact"/>
              <w:jc w:val="both"/>
              <w:rPr>
                <w:rFonts w:hint="default"/>
                <w:color w:val="000000" w:themeColor="text1"/>
                <w:sz w:val="28"/>
                <w:szCs w:val="28"/>
                <w:lang w:val="en-US" w:eastAsia="zh-CN"/>
                <w14:textFill>
                  <w14:solidFill>
                    <w14:schemeClr w14:val="tx1"/>
                  </w14:solidFill>
                </w14:textFill>
              </w:rPr>
            </w:pPr>
          </w:p>
        </w:tc>
      </w:tr>
    </w:tbl>
    <w:p>
      <w:pPr>
        <w:rPr>
          <w:sz w:val="10"/>
          <w:szCs w:val="10"/>
        </w:rPr>
      </w:pPr>
    </w:p>
    <w:sectPr>
      <w:pgSz w:w="16838" w:h="11906" w:orient="landscape"/>
      <w:pgMar w:top="1134" w:right="1134" w:bottom="85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D93C9"/>
    <w:multiLevelType w:val="singleLevel"/>
    <w:tmpl w:val="CACD93C9"/>
    <w:lvl w:ilvl="0" w:tentative="0">
      <w:start w:val="2"/>
      <w:numFmt w:val="decimal"/>
      <w:lvlText w:val="%1."/>
      <w:lvlJc w:val="left"/>
      <w:pPr>
        <w:tabs>
          <w:tab w:val="left" w:pos="312"/>
        </w:tabs>
      </w:pPr>
    </w:lvl>
  </w:abstractNum>
  <w:abstractNum w:abstractNumId="1">
    <w:nsid w:val="33D47565"/>
    <w:multiLevelType w:val="singleLevel"/>
    <w:tmpl w:val="33D475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B5061F"/>
    <w:rsid w:val="00135B97"/>
    <w:rsid w:val="00170781"/>
    <w:rsid w:val="005B038B"/>
    <w:rsid w:val="00613141"/>
    <w:rsid w:val="00614B93"/>
    <w:rsid w:val="00962AA5"/>
    <w:rsid w:val="00A01F97"/>
    <w:rsid w:val="00A214BA"/>
    <w:rsid w:val="00AB4E6C"/>
    <w:rsid w:val="00C111E3"/>
    <w:rsid w:val="00E01885"/>
    <w:rsid w:val="00E97D18"/>
    <w:rsid w:val="00F768FB"/>
    <w:rsid w:val="01D14042"/>
    <w:rsid w:val="068E0C4F"/>
    <w:rsid w:val="097C6143"/>
    <w:rsid w:val="0D264A12"/>
    <w:rsid w:val="0F583001"/>
    <w:rsid w:val="11010498"/>
    <w:rsid w:val="142314E0"/>
    <w:rsid w:val="1847763C"/>
    <w:rsid w:val="1F573BFC"/>
    <w:rsid w:val="23D56097"/>
    <w:rsid w:val="2B202725"/>
    <w:rsid w:val="2C6521F6"/>
    <w:rsid w:val="2DB56874"/>
    <w:rsid w:val="33C2557B"/>
    <w:rsid w:val="347E5E01"/>
    <w:rsid w:val="34A66181"/>
    <w:rsid w:val="37B5061F"/>
    <w:rsid w:val="39017645"/>
    <w:rsid w:val="391E6EF5"/>
    <w:rsid w:val="3A371C6B"/>
    <w:rsid w:val="3C045799"/>
    <w:rsid w:val="3CE93195"/>
    <w:rsid w:val="478373C5"/>
    <w:rsid w:val="48BA6C4A"/>
    <w:rsid w:val="511F2E86"/>
    <w:rsid w:val="52F41186"/>
    <w:rsid w:val="536F7D01"/>
    <w:rsid w:val="5A9C30FE"/>
    <w:rsid w:val="5AD543E5"/>
    <w:rsid w:val="5F391A21"/>
    <w:rsid w:val="5F603AC2"/>
    <w:rsid w:val="601B7AB1"/>
    <w:rsid w:val="65AF5F65"/>
    <w:rsid w:val="65EA2438"/>
    <w:rsid w:val="6BB11D21"/>
    <w:rsid w:val="6E81101A"/>
    <w:rsid w:val="7C7C73FE"/>
    <w:rsid w:val="7C85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ascii="Times New Roman" w:hAnsi="Times New Roman" w:cs="Times New Roman"/>
      <w:sz w:val="24"/>
      <w:szCs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331</Words>
  <Characters>1889</Characters>
  <Lines>15</Lines>
  <Paragraphs>4</Paragraphs>
  <TotalTime>4</TotalTime>
  <ScaleCrop>false</ScaleCrop>
  <LinksUpToDate>false</LinksUpToDate>
  <CharactersWithSpaces>2216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2022-02-14T05:01:00Z</dcterms:created>
  <dc:creator>user</dc:creator>
  <cp:lastModifiedBy>馨依</cp:lastModifiedBy>
  <dcterms:modified xsi:type="dcterms:W3CDTF">2022-02-17T09:56:44Z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4749CC68DFFD4469BCE703E5BF83E1AB</vt:lpwstr>
  </property>
</Properties>
</file>